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Style w:val="Ninguno"/>
          <w:sz w:val="32"/>
          <w:szCs w:val="32"/>
          <w:u w:val="single"/>
        </w:rPr>
      </w:pPr>
      <w:r>
        <w:rPr>
          <w:rStyle w:val="Ninguno"/>
          <w:sz w:val="32"/>
          <w:szCs w:val="32"/>
          <w:u w:val="single"/>
          <w:rtl w:val="0"/>
          <w:lang w:val="es-ES_tradnl"/>
        </w:rPr>
        <w:t>BASES CONCURSO DE DISFRACES DE CARNAVAL 2023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outline w:val="0"/>
          <w:color w:val="222222"/>
          <w:sz w:val="13"/>
          <w:szCs w:val="1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222222"/>
          <w:sz w:val="13"/>
          <w:szCs w:val="1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222222"/>
          <w:sz w:val="13"/>
          <w:szCs w:val="1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222222"/>
          <w:sz w:val="13"/>
          <w:szCs w:val="1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inline distT="0" distB="0" distL="0" distR="0">
            <wp:extent cx="3735071" cy="1105536"/>
            <wp:effectExtent l="0" t="0" r="0" b="0"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1" cy="1105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Style w:val="Ninguno"/>
          <w:sz w:val="20"/>
          <w:szCs w:val="20"/>
        </w:rPr>
      </w:pPr>
    </w:p>
    <w:p>
      <w:pPr>
        <w:pStyle w:val="Párrafo de list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 Concurso de disfraces de Carnaval de categor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infantil, se desarrollar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durante el viernes d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17 de febrero de 2023, </w:t>
      </w:r>
      <w:r>
        <w:rPr>
          <w:sz w:val="24"/>
          <w:szCs w:val="24"/>
          <w:rtl w:val="0"/>
          <w:lang w:val="es-ES_tradnl"/>
        </w:rPr>
        <w:t>estableci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ndose el horario de las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18:30 horas para su comienzo.</w:t>
      </w:r>
    </w:p>
    <w:p>
      <w:pPr>
        <w:pStyle w:val="Párrafo de lista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En el concurso podr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participar todos aquellos ni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os y ni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as cuyas edades est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 comprendidas entre los 0 y 14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os de edad.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Para participar hay que apuntarse a trav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de la p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gina web del centro: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"http://www.centrocomerciallosangeles.com"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www.centrocomerciallosangeles.com</w:t>
      </w:r>
      <w:r>
        <w:rPr>
          <w:sz w:val="20"/>
          <w:szCs w:val="20"/>
        </w:rPr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 xml:space="preserve"> , o en el stand instalado para la ocasi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facilitando los datos de nombre del participante, edad y nombre del disfraz.</w:t>
      </w:r>
    </w:p>
    <w:p>
      <w:pPr>
        <w:pStyle w:val="Normal.0"/>
        <w:spacing w:line="240" w:lineRule="auto"/>
        <w:ind w:left="142" w:firstLine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horario de inscripci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presencial ser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 xml:space="preserve">a partir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de las 17:30 hasta las 18:15 del d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a 17 de febrero de 2023, </w:t>
      </w:r>
      <w:r>
        <w:rPr>
          <w:rStyle w:val="Ninguno"/>
          <w:sz w:val="24"/>
          <w:szCs w:val="24"/>
          <w:rtl w:val="0"/>
          <w:lang w:val="es-ES_tradnl"/>
        </w:rPr>
        <w:t>con un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ximo de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100</w:t>
      </w:r>
      <w:r>
        <w:rPr>
          <w:rStyle w:val="Ninguno"/>
          <w:sz w:val="24"/>
          <w:szCs w:val="24"/>
          <w:rtl w:val="0"/>
          <w:lang w:val="es-ES_tradnl"/>
        </w:rPr>
        <w:t xml:space="preserve"> participantes.</w:t>
      </w:r>
    </w:p>
    <w:p>
      <w:pPr>
        <w:pStyle w:val="Párrafo de lista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No podr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participar en dicho concurso, los empleados y familiares hasta el primer grado de consanguinidad del Centro Comercial Los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ngeles.</w:t>
      </w:r>
    </w:p>
    <w:p>
      <w:pPr>
        <w:pStyle w:val="Párrafo de lista"/>
        <w:ind w:left="142" w:firstLine="0"/>
        <w:jc w:val="both"/>
        <w:rPr>
          <w:sz w:val="20"/>
          <w:szCs w:val="20"/>
        </w:rPr>
      </w:pPr>
    </w:p>
    <w:p>
      <w:pPr>
        <w:pStyle w:val="Párrafo de lista"/>
        <w:numPr>
          <w:ilvl w:val="1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 xml:space="preserve">El Jurado designado por la Gerencia del Centro Comercial Los 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>ngeles decidir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>en todo caso los tres ganadores del concurso sin que haya posibilidad de cambio ni reclamaci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>n por cualquiera de los participantes. El resultado arrojado ser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>comunicado por el Presentador, que anunciar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b w:val="0"/>
          <w:bCs w:val="0"/>
          <w:sz w:val="24"/>
          <w:szCs w:val="24"/>
          <w:rtl w:val="0"/>
          <w:lang w:val="es-ES_tradnl"/>
        </w:rPr>
        <w:t>a los ganadores del concurso.</w:t>
      </w:r>
    </w:p>
    <w:p>
      <w:pPr>
        <w:pStyle w:val="Párrafo de lista"/>
        <w:rPr>
          <w:b w:val="1"/>
          <w:bCs w:val="1"/>
          <w:sz w:val="24"/>
          <w:szCs w:val="24"/>
        </w:rPr>
      </w:pPr>
    </w:p>
    <w:p>
      <w:pPr>
        <w:pStyle w:val="Párrafo de lista"/>
        <w:numPr>
          <w:ilvl w:val="1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Los tres ganadores del concurso recibir</w:t>
      </w:r>
      <w:r>
        <w:rPr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n un regalo cortes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a de la gerencia del centro comercial Los </w:t>
      </w:r>
      <w:r>
        <w:rPr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ngeles</w:t>
      </w:r>
      <w:r>
        <w:rPr>
          <w:b w:val="1"/>
          <w:bCs w:val="1"/>
          <w:sz w:val="24"/>
          <w:szCs w:val="24"/>
          <w:rtl w:val="0"/>
          <w:lang w:val="es-ES_tradnl"/>
        </w:rPr>
        <w:t>, que ser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b w:val="1"/>
          <w:bCs w:val="1"/>
          <w:sz w:val="24"/>
          <w:szCs w:val="24"/>
          <w:rtl w:val="0"/>
          <w:lang w:val="es-ES_tradnl"/>
        </w:rPr>
        <w:t>60 euros en Angelotes para gastar en el centro comercial.</w:t>
      </w:r>
    </w:p>
    <w:p>
      <w:pPr>
        <w:pStyle w:val="Párrafo de lista"/>
        <w:ind w:left="0" w:firstLine="0"/>
        <w:jc w:val="both"/>
        <w:rPr>
          <w:sz w:val="24"/>
          <w:szCs w:val="24"/>
        </w:rPr>
      </w:pPr>
    </w:p>
    <w:p>
      <w:pPr>
        <w:pStyle w:val="Párrafo de lista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El Centro Comercial Los 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ngeles podr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utilizar las 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del evento como medio de promoci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 trav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s de su web: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"http://www.centrocomerciallosangeles.com"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www.centrocomerciallosangeles.com</w:t>
      </w:r>
      <w:r>
        <w:rPr>
          <w:sz w:val="20"/>
          <w:szCs w:val="20"/>
        </w:rPr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 xml:space="preserve">  </w:t>
      </w:r>
    </w:p>
    <w:p>
      <w:pPr>
        <w:pStyle w:val="Párrafo de lista"/>
        <w:tabs>
          <w:tab w:val="left" w:pos="142"/>
        </w:tabs>
        <w:spacing w:line="240" w:lineRule="auto"/>
        <w:ind w:left="0" w:firstLine="0"/>
        <w:jc w:val="both"/>
        <w:rPr>
          <w:sz w:val="20"/>
          <w:szCs w:val="20"/>
        </w:rPr>
      </w:pPr>
    </w:p>
    <w:p>
      <w:pPr>
        <w:pStyle w:val="Párrafo de lista"/>
        <w:numPr>
          <w:ilvl w:val="0"/>
          <w:numId w:val="5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La participaci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 el concurso significa la aceptaci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lo recogido en las presentes bases.</w:t>
      </w:r>
    </w:p>
    <w:p>
      <w:pPr>
        <w:pStyle w:val="Párrafo de lista"/>
        <w:tabs>
          <w:tab w:val="left" w:pos="142"/>
        </w:tabs>
        <w:spacing w:line="240" w:lineRule="auto"/>
        <w:ind w:left="0" w:firstLine="0"/>
        <w:jc w:val="both"/>
        <w:rPr>
          <w:sz w:val="20"/>
          <w:szCs w:val="20"/>
        </w:rPr>
      </w:pPr>
    </w:p>
    <w:p>
      <w:pPr>
        <w:pStyle w:val="Párrafo de lista"/>
        <w:numPr>
          <w:ilvl w:val="0"/>
          <w:numId w:val="5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Las bases del concurso quedan depositadas en la Gerencia del centro Comercial Los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ngeles ser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expuestas en el stand instalado para la ocasi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 xml:space="preserve">mismo, el Centro Comercial Los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ngeles se reserva el derecho de modificaci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presentes bases, cambio que, si lo hubiere, ser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notificado previamente.</w:t>
      </w:r>
    </w:p>
    <w:p>
      <w:pPr>
        <w:pStyle w:val="Párrafo de lista"/>
        <w:tabs>
          <w:tab w:val="left" w:pos="142"/>
        </w:tabs>
        <w:spacing w:line="240" w:lineRule="auto"/>
        <w:ind w:left="0" w:firstLine="0"/>
        <w:jc w:val="both"/>
        <w:rPr>
          <w:sz w:val="20"/>
          <w:szCs w:val="20"/>
        </w:rPr>
      </w:pPr>
    </w:p>
    <w:p>
      <w:pPr>
        <w:pStyle w:val="Párrafo de lista"/>
        <w:numPr>
          <w:ilvl w:val="0"/>
          <w:numId w:val="5"/>
        </w:numPr>
        <w:bidi w:val="0"/>
        <w:spacing w:line="240" w:lineRule="auto"/>
        <w:ind w:right="0"/>
        <w:jc w:val="both"/>
        <w:rPr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TODOS LOS PARTICIPANTES RECIBIR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N UN REGALO: UNA BOLSA DE GOLOSINAS.</w:t>
      </w:r>
    </w:p>
    <w:p>
      <w:pPr>
        <w:pStyle w:val="Párrafo de lista"/>
        <w:tabs>
          <w:tab w:val="left" w:pos="142"/>
        </w:tabs>
        <w:spacing w:line="240" w:lineRule="auto"/>
        <w:ind w:left="0" w:firstLine="0"/>
        <w:jc w:val="both"/>
        <w:rPr>
          <w:b w:val="1"/>
          <w:bCs w:val="1"/>
          <w:sz w:val="24"/>
          <w:szCs w:val="24"/>
          <w:u w:val="single"/>
        </w:rPr>
      </w:pPr>
    </w:p>
    <w:p>
      <w:pPr>
        <w:pStyle w:val="Párrafo de lista"/>
        <w:numPr>
          <w:ilvl w:val="0"/>
          <w:numId w:val="5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 xml:space="preserve"> ESTE CONCURSO ES TOTALMENTE GRATUITO.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de-DE"/>
        </w:rPr>
        <w:t>INFORMACI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  <w:lang w:val="en-US"/>
        </w:rPr>
        <w:t>N PROTECCI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N DE DATOS CLIENTES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 xml:space="preserve">RESPONSABLE DEL TRATAMIENTO: COMUNIDAD DE PROPIETARIOS CENTRO COMERCIAL LOS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de-DE"/>
        </w:rPr>
        <w:t>NGELES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FINALIDAD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a) La asignaci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entrega del premio.</w:t>
      </w:r>
      <w:r>
        <w:rPr>
          <w:rFonts w:ascii="Calibri" w:cs="Calibri" w:hAnsi="Calibri" w:eastAsia="Calibri"/>
          <w:rtl w:val="0"/>
        </w:rPr>
        <w:br w:type="textWrapping"/>
      </w:r>
      <w:r>
        <w:rPr>
          <w:rFonts w:ascii="Calibri" w:hAnsi="Calibri"/>
          <w:rtl w:val="0"/>
        </w:rPr>
        <w:t>b) Env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o de ofertas, promociones y newsletters del centro.</w:t>
      </w:r>
      <w:r>
        <w:rPr>
          <w:rFonts w:ascii="Calibri" w:cs="Calibri" w:hAnsi="Calibri" w:eastAsia="Calibri"/>
          <w:rtl w:val="0"/>
        </w:rPr>
        <w:br w:type="textWrapping"/>
      </w:r>
      <w:r>
        <w:rPr>
          <w:rFonts w:ascii="Calibri" w:hAnsi="Calibri"/>
          <w:rtl w:val="0"/>
          <w:lang w:val="pt-PT"/>
        </w:rPr>
        <w:t>c) Toma de im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pt-PT"/>
        </w:rPr>
        <w:t>genes para uso interno.</w:t>
      </w:r>
      <w:r>
        <w:rPr>
          <w:rFonts w:ascii="Calibri" w:cs="Calibri" w:hAnsi="Calibri" w:eastAsia="Calibri"/>
          <w:rtl w:val="0"/>
        </w:rPr>
        <w:br w:type="textWrapping"/>
      </w:r>
      <w:r>
        <w:rPr>
          <w:rFonts w:ascii="Calibri" w:hAnsi="Calibri"/>
          <w:rtl w:val="0"/>
          <w:lang w:val="es-ES_tradnl"/>
        </w:rPr>
        <w:t>d) Publicaci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datos (incluidas im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genes) en el sitio web del Centro, as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s-ES_tradnl"/>
        </w:rPr>
        <w:t>como en Facebook y/o en otras redes sociales y otros medios de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pt-PT"/>
        </w:rPr>
        <w:t>n externos.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COMUNICACI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  <w:lang w:val="es-ES_tradnl"/>
        </w:rPr>
        <w:t>N DE LOS DATOS No se comunicar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datos a terceros, salvo obligaci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pt-PT"/>
        </w:rPr>
        <w:t>n legal.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DERECHOS QUE ASISTEN AL INTERESADO</w:t>
      </w:r>
    </w:p>
    <w:p>
      <w:pPr>
        <w:pStyle w:val="Por omisión"/>
        <w:numPr>
          <w:ilvl w:val="0"/>
          <w:numId w:val="7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Derecho a retirar el consentimiento en cualquier momento.</w:t>
      </w:r>
    </w:p>
    <w:p>
      <w:pPr>
        <w:pStyle w:val="Por omisión"/>
        <w:numPr>
          <w:ilvl w:val="0"/>
          <w:numId w:val="7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Derecho de acceso, rectificaci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portabilidad y supresi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sus datos y a la limitaci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u oposici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a su tratamiento.</w:t>
      </w:r>
    </w:p>
    <w:p>
      <w:pPr>
        <w:pStyle w:val="Por omisión"/>
        <w:numPr>
          <w:ilvl w:val="0"/>
          <w:numId w:val="7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Derecho a presentar una reclamaci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ante la Autoridad de control (agpd.es) si considera que el tratamiento no se ajusta a la normativa vigente.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 xml:space="preserve">Datos de contacto para ejercer sus derechos: COMUNIDAD DE PROPIETARIOS DEL CENTRO COMERCIAL LOS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NGELES, Av. de Andaluc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pt-PT"/>
        </w:rPr>
        <w:t>a, Km. 7,100 o a trav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s-ES_tradnl"/>
        </w:rPr>
        <w:t>s de correo electr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nico info@centrocomerciallosangeles.es, junto con prueba 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 xml:space="preserve">lida en derecho, como fotocopia del D.N.I. e indicando en el asunto </w:t>
      </w:r>
      <w:r>
        <w:rPr>
          <w:rFonts w:ascii="Calibri" w:hAnsi="Calibri" w:hint="default"/>
          <w:rtl w:val="1"/>
          <w:lang w:val="ar-SA" w:bidi="ar-SA"/>
        </w:rPr>
        <w:t>“</w:t>
      </w:r>
      <w:r>
        <w:rPr>
          <w:rFonts w:ascii="Calibri" w:hAnsi="Calibri"/>
          <w:rtl w:val="0"/>
          <w:lang w:val="en-US"/>
        </w:rPr>
        <w:t>PROTECCI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  <w:lang w:val="es-ES_tradnl"/>
        </w:rPr>
        <w:t>N DE DATOS</w:t>
      </w:r>
      <w:r>
        <w:rPr>
          <w:rFonts w:ascii="Calibri" w:hAnsi="Calibri" w:hint="default"/>
          <w:rtl w:val="0"/>
        </w:rPr>
        <w:t>”</w:t>
      </w:r>
      <w:r>
        <w:rPr>
          <w:rFonts w:ascii="Calibri" w:hAnsi="Calibri"/>
          <w:rtl w:val="0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709" w:right="1701" w:bottom="426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4" w:hanging="1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4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4" w:hanging="8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1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4" w:hanging="8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4" w:hanging="8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tabs>
          <w:tab w:val="left" w:pos="142"/>
        </w:tabs>
        <w:ind w:left="118" w:hanging="1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2"/>
        </w:tabs>
        <w:ind w:left="604" w:hanging="5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"/>
        </w:tabs>
        <w:ind w:left="1326" w:hanging="5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"/>
        </w:tabs>
        <w:ind w:left="2048" w:hanging="5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"/>
        </w:tabs>
        <w:ind w:left="2770" w:hanging="5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"/>
        </w:tabs>
        <w:ind w:left="3492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"/>
        </w:tabs>
        <w:ind w:left="4214" w:hanging="5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"/>
        </w:tabs>
        <w:ind w:left="4936" w:hanging="5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"/>
        </w:tabs>
        <w:ind w:left="5658" w:hanging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Viñetas"/>
  </w:abstractNum>
  <w:abstractNum w:abstractNumId="5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142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2"/>
          </w:tabs>
          <w:ind w:left="720" w:hanging="6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2"/>
          </w:tabs>
          <w:ind w:left="1440" w:hanging="6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2"/>
          </w:tabs>
          <w:ind w:left="2160" w:hanging="67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2"/>
          </w:tabs>
          <w:ind w:left="2880" w:hanging="6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2"/>
          </w:tabs>
          <w:ind w:left="3600" w:hanging="6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2"/>
          </w:tabs>
          <w:ind w:left="4320" w:hanging="63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2"/>
          </w:tabs>
          <w:ind w:left="5040" w:hanging="6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2"/>
          </w:tabs>
          <w:ind w:left="5760" w:hanging="6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Hyperlink.0">
    <w:name w:val="Hyperlink.0"/>
    <w:basedOn w:val="Ninguno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